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F938" w14:textId="77777777" w:rsidR="00FE067E" w:rsidRDefault="00CD36CF" w:rsidP="00EF6030">
      <w:pPr>
        <w:pStyle w:val="TitlePageOrigin"/>
      </w:pPr>
      <w:r>
        <w:t>WEST virginia legislature</w:t>
      </w:r>
    </w:p>
    <w:p w14:paraId="4EF2907E" w14:textId="77777777" w:rsidR="00CD36CF" w:rsidRDefault="00CD36CF" w:rsidP="00EF6030">
      <w:pPr>
        <w:pStyle w:val="TitlePageSession"/>
      </w:pPr>
      <w:r>
        <w:t>20</w:t>
      </w:r>
      <w:r w:rsidR="006565E8">
        <w:t>2</w:t>
      </w:r>
      <w:r w:rsidR="00AF09E0">
        <w:t>4</w:t>
      </w:r>
      <w:r>
        <w:t xml:space="preserve"> regular session</w:t>
      </w:r>
    </w:p>
    <w:p w14:paraId="4A9DFFA0" w14:textId="77777777" w:rsidR="00CD36CF" w:rsidRDefault="00FF61BE" w:rsidP="00EF6030">
      <w:pPr>
        <w:pStyle w:val="TitlePageBillPrefix"/>
      </w:pPr>
      <w:sdt>
        <w:sdtPr>
          <w:tag w:val="IntroDate"/>
          <w:id w:val="-1236936958"/>
          <w:placeholder>
            <w:docPart w:val="464381E4B5424E2B84AC0CF5A4C80EB7"/>
          </w:placeholder>
          <w:text/>
        </w:sdtPr>
        <w:sdtEndPr/>
        <w:sdtContent>
          <w:r w:rsidR="00AC3B58">
            <w:t>Committee Substitute</w:t>
          </w:r>
        </w:sdtContent>
      </w:sdt>
    </w:p>
    <w:p w14:paraId="2A646C67" w14:textId="77777777" w:rsidR="00AC3B58" w:rsidRPr="00AC3B58" w:rsidRDefault="00AC3B58" w:rsidP="00EF6030">
      <w:pPr>
        <w:pStyle w:val="TitlePageBillPrefix"/>
      </w:pPr>
      <w:r>
        <w:t>for</w:t>
      </w:r>
    </w:p>
    <w:p w14:paraId="699F65A3" w14:textId="46E900A0" w:rsidR="00CD36CF" w:rsidRDefault="00FF61BE" w:rsidP="00EF6030">
      <w:pPr>
        <w:pStyle w:val="BillNumber"/>
      </w:pPr>
      <w:sdt>
        <w:sdtPr>
          <w:tag w:val="Chamber"/>
          <w:id w:val="893011969"/>
          <w:lock w:val="sdtLocked"/>
          <w:placeholder>
            <w:docPart w:val="59BBB36888214974A906C956DC83699E"/>
          </w:placeholder>
          <w:dropDownList>
            <w:listItem w:displayText="House" w:value="House"/>
            <w:listItem w:displayText="Senate" w:value="Senate"/>
          </w:dropDownList>
        </w:sdtPr>
        <w:sdtEndPr/>
        <w:sdtContent>
          <w:r w:rsidR="001E70EF">
            <w:t>Senate</w:t>
          </w:r>
        </w:sdtContent>
      </w:sdt>
      <w:r w:rsidR="00303684">
        <w:t xml:space="preserve"> </w:t>
      </w:r>
      <w:r w:rsidR="00CD36CF">
        <w:t xml:space="preserve">Bill </w:t>
      </w:r>
      <w:sdt>
        <w:sdtPr>
          <w:tag w:val="BNum"/>
          <w:id w:val="1645317809"/>
          <w:lock w:val="sdtLocked"/>
          <w:placeholder>
            <w:docPart w:val="3C529FBAEDCC4E118AE814FC07778F4C"/>
          </w:placeholder>
          <w:text/>
        </w:sdtPr>
        <w:sdtEndPr/>
        <w:sdtContent>
          <w:r w:rsidR="001E70EF" w:rsidRPr="001E70EF">
            <w:t>516</w:t>
          </w:r>
        </w:sdtContent>
      </w:sdt>
    </w:p>
    <w:p w14:paraId="6F541136" w14:textId="77777777" w:rsidR="001E70EF" w:rsidRDefault="001E70EF" w:rsidP="00EF6030">
      <w:pPr>
        <w:pStyle w:val="References"/>
        <w:rPr>
          <w:smallCaps/>
        </w:rPr>
      </w:pPr>
      <w:r>
        <w:rPr>
          <w:smallCaps/>
        </w:rPr>
        <w:t>By Senators Woelfel, Trump, and Caputo</w:t>
      </w:r>
    </w:p>
    <w:p w14:paraId="77A159D5" w14:textId="262C5BC2" w:rsidR="001E70EF" w:rsidRDefault="00CD36CF" w:rsidP="00EF6030">
      <w:pPr>
        <w:pStyle w:val="References"/>
      </w:pPr>
      <w:r>
        <w:t>[</w:t>
      </w:r>
      <w:r w:rsidR="00002112">
        <w:t xml:space="preserve">Originating in the Committee on </w:t>
      </w:r>
      <w:sdt>
        <w:sdtPr>
          <w:tag w:val="References"/>
          <w:id w:val="-1043047873"/>
          <w:placeholder>
            <w:docPart w:val="8D08B9A1DA0345668C4EB71F891780B3"/>
          </w:placeholder>
          <w:text w:multiLine="1"/>
        </w:sdtPr>
        <w:sdtEndPr/>
        <w:sdtContent>
          <w:r w:rsidR="0031106F">
            <w:t>the Judiciary</w:t>
          </w:r>
        </w:sdtContent>
      </w:sdt>
      <w:r w:rsidR="00002112">
        <w:t xml:space="preserve">; reported </w:t>
      </w:r>
      <w:sdt>
        <w:sdtPr>
          <w:id w:val="-32107996"/>
          <w:placeholder>
            <w:docPart w:val="ACB60E1C06FF48298A40F5EE3D3D62C7"/>
          </w:placeholder>
          <w:text/>
        </w:sdtPr>
        <w:sdtEndPr/>
        <w:sdtContent>
          <w:r w:rsidR="00FF61BE">
            <w:t>February 1</w:t>
          </w:r>
          <w:r w:rsidR="00940CA7">
            <w:t>, 2024</w:t>
          </w:r>
        </w:sdtContent>
      </w:sdt>
      <w:r>
        <w:t>]</w:t>
      </w:r>
    </w:p>
    <w:p w14:paraId="38F3DEE3" w14:textId="77777777" w:rsidR="001E70EF" w:rsidRDefault="001E70EF" w:rsidP="001E70EF">
      <w:pPr>
        <w:pStyle w:val="TitlePageOrigin"/>
      </w:pPr>
    </w:p>
    <w:p w14:paraId="60DD4A5A" w14:textId="072531CB" w:rsidR="001E70EF" w:rsidRPr="00353CB4" w:rsidRDefault="001E70EF" w:rsidP="001E70EF">
      <w:pPr>
        <w:pStyle w:val="TitlePageOrigin"/>
        <w:rPr>
          <w:color w:val="auto"/>
        </w:rPr>
      </w:pPr>
    </w:p>
    <w:p w14:paraId="247A584E" w14:textId="12B022F6" w:rsidR="001E70EF" w:rsidRPr="00353CB4" w:rsidRDefault="001E70EF" w:rsidP="001E70EF">
      <w:pPr>
        <w:pStyle w:val="TitleSection"/>
        <w:rPr>
          <w:bCs/>
          <w:color w:val="auto"/>
        </w:rPr>
      </w:pPr>
      <w:r w:rsidRPr="00353CB4">
        <w:rPr>
          <w:color w:val="auto"/>
        </w:rPr>
        <w:lastRenderedPageBreak/>
        <w:t xml:space="preserve">A BILL to amend and reenact §48-9-105 of the Code of West Virginia, 1931, as amended, relating to determining </w:t>
      </w:r>
      <w:r w:rsidRPr="00353CB4">
        <w:rPr>
          <w:bCs/>
          <w:color w:val="auto"/>
        </w:rPr>
        <w:t>venue for custodial allocation actions</w:t>
      </w:r>
      <w:r w:rsidR="0031106F">
        <w:rPr>
          <w:bCs/>
          <w:color w:val="auto"/>
        </w:rPr>
        <w:t xml:space="preserve">; providing venue options for initial custody determinations; providing venue for modification or enforcement of custodial allocation; providing for transfer of venue for modification or enforcement of custodial allocation </w:t>
      </w:r>
      <w:r w:rsidR="00F7056B">
        <w:rPr>
          <w:bCs/>
          <w:color w:val="auto"/>
        </w:rPr>
        <w:t xml:space="preserve">arising out of a finalized divorce proceeding or independent of divorce </w:t>
      </w:r>
      <w:r w:rsidR="0031106F">
        <w:rPr>
          <w:bCs/>
          <w:color w:val="auto"/>
        </w:rPr>
        <w:t xml:space="preserve">if certain conditions are met; allowing family court to decline transfer of venue; </w:t>
      </w:r>
      <w:r w:rsidR="00FF61BE">
        <w:rPr>
          <w:bCs/>
          <w:color w:val="auto"/>
        </w:rPr>
        <w:t xml:space="preserve">and </w:t>
      </w:r>
      <w:r w:rsidR="0031106F">
        <w:rPr>
          <w:bCs/>
          <w:color w:val="auto"/>
        </w:rPr>
        <w:t xml:space="preserve">providing for transfer of venue for child support and paternity </w:t>
      </w:r>
      <w:r w:rsidR="002C5128">
        <w:rPr>
          <w:bCs/>
          <w:color w:val="auto"/>
        </w:rPr>
        <w:t xml:space="preserve">where the venue </w:t>
      </w:r>
      <w:r w:rsidR="00940CA7">
        <w:rPr>
          <w:bCs/>
          <w:color w:val="auto"/>
        </w:rPr>
        <w:t>for modification or enforcement of a custody determination is transferred.</w:t>
      </w:r>
    </w:p>
    <w:p w14:paraId="049A7A9C" w14:textId="77777777" w:rsidR="001E70EF" w:rsidRPr="00353CB4" w:rsidRDefault="001E70EF" w:rsidP="001E70EF">
      <w:pPr>
        <w:pStyle w:val="EnactingClause"/>
        <w:rPr>
          <w:color w:val="auto"/>
        </w:rPr>
      </w:pPr>
      <w:r w:rsidRPr="00353CB4">
        <w:rPr>
          <w:color w:val="auto"/>
        </w:rPr>
        <w:t>Be it enacted by the Legislature of West Virginia:</w:t>
      </w:r>
    </w:p>
    <w:p w14:paraId="355E7715" w14:textId="77777777" w:rsidR="001E70EF" w:rsidRPr="00353CB4" w:rsidRDefault="001E70EF" w:rsidP="001E70EF">
      <w:pPr>
        <w:pStyle w:val="ArticleHeading"/>
        <w:rPr>
          <w:color w:val="auto"/>
        </w:rPr>
        <w:sectPr w:rsidR="001E70EF" w:rsidRPr="00353CB4" w:rsidSect="001E70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3CB4">
        <w:rPr>
          <w:color w:val="auto"/>
        </w:rPr>
        <w:t>ARTICLE 9. ALLOCATION OF CUSTODIAL RESPONSIBILITY AND DECISION-MAKING RESPONSIBILITY OF CHILDREN.</w:t>
      </w:r>
    </w:p>
    <w:p w14:paraId="040B3441" w14:textId="77777777" w:rsidR="001E70EF" w:rsidRPr="00353CB4" w:rsidRDefault="001E70EF" w:rsidP="001E70EF">
      <w:pPr>
        <w:pStyle w:val="SectionHeading"/>
        <w:rPr>
          <w:color w:val="auto"/>
        </w:rPr>
      </w:pPr>
      <w:r w:rsidRPr="00353CB4">
        <w:rPr>
          <w:color w:val="auto"/>
        </w:rPr>
        <w:t xml:space="preserve">§48-9-105. Venue for custodial allocation actions </w:t>
      </w:r>
      <w:r w:rsidRPr="00183F6F">
        <w:rPr>
          <w:strike/>
          <w:color w:val="auto"/>
        </w:rPr>
        <w:t>independent of divorce</w:t>
      </w:r>
      <w:r w:rsidRPr="00C93722">
        <w:rPr>
          <w:color w:val="auto"/>
        </w:rPr>
        <w:t>.</w:t>
      </w:r>
    </w:p>
    <w:p w14:paraId="3CE04A00" w14:textId="77777777" w:rsidR="001E70EF" w:rsidRPr="0031106F" w:rsidRDefault="001E70EF" w:rsidP="001E70EF">
      <w:pPr>
        <w:pStyle w:val="SectionBody"/>
        <w:rPr>
          <w:strike/>
          <w:color w:val="auto"/>
        </w:rPr>
      </w:pPr>
      <w:r w:rsidRPr="0031106F">
        <w:rPr>
          <w:strike/>
          <w:color w:val="auto"/>
        </w:rPr>
        <w:t xml:space="preserve">(a) Venue for the initial determination of custodial allocation or child custody determination within a divorce action shall be governed by §48-5-106 or §48-20-101 </w:t>
      </w:r>
      <w:r w:rsidRPr="0031106F">
        <w:rPr>
          <w:i/>
          <w:strike/>
          <w:color w:val="auto"/>
        </w:rPr>
        <w:t>et seq</w:t>
      </w:r>
      <w:r w:rsidRPr="0031106F">
        <w:rPr>
          <w:strike/>
          <w:color w:val="auto"/>
        </w:rPr>
        <w:t>. of this code, or both.</w:t>
      </w:r>
    </w:p>
    <w:p w14:paraId="0383B82C" w14:textId="77777777" w:rsidR="001E70EF" w:rsidRPr="0031106F" w:rsidRDefault="001E70EF" w:rsidP="001E70EF">
      <w:pPr>
        <w:pStyle w:val="SectionBody"/>
        <w:rPr>
          <w:strike/>
          <w:color w:val="auto"/>
        </w:rPr>
      </w:pPr>
      <w:r w:rsidRPr="0031106F">
        <w:rPr>
          <w:strike/>
          <w:color w:val="auto"/>
        </w:rPr>
        <w:t xml:space="preserve">(b) Venue for the initial determination of custodial allocation or child custody determination as between parties who reside in separate states shall be governed by §48-20-101 </w:t>
      </w:r>
      <w:r w:rsidRPr="0031106F">
        <w:rPr>
          <w:i/>
          <w:iCs/>
          <w:strike/>
          <w:color w:val="auto"/>
        </w:rPr>
        <w:t>et seq</w:t>
      </w:r>
      <w:r w:rsidRPr="0031106F">
        <w:rPr>
          <w:strike/>
          <w:color w:val="auto"/>
        </w:rPr>
        <w:t>. of this code.</w:t>
      </w:r>
    </w:p>
    <w:p w14:paraId="6F3D1F1D" w14:textId="77777777" w:rsidR="001E70EF" w:rsidRPr="0031106F" w:rsidRDefault="001E70EF" w:rsidP="001E70EF">
      <w:pPr>
        <w:pStyle w:val="SectionBody"/>
        <w:rPr>
          <w:strike/>
          <w:color w:val="auto"/>
        </w:rPr>
      </w:pPr>
      <w:r w:rsidRPr="0031106F">
        <w:rPr>
          <w:strike/>
          <w:color w:val="auto"/>
        </w:rPr>
        <w:t xml:space="preserve">(c) Venue for modification of custodial allocation or modification of child custody determination which was previously determined in a tribunal of a state other than West Virginia shall be governed by §48-20-101 </w:t>
      </w:r>
      <w:r w:rsidRPr="0031106F">
        <w:rPr>
          <w:i/>
          <w:iCs/>
          <w:strike/>
          <w:color w:val="auto"/>
        </w:rPr>
        <w:t>et seq</w:t>
      </w:r>
      <w:r w:rsidRPr="0031106F">
        <w:rPr>
          <w:strike/>
          <w:color w:val="auto"/>
        </w:rPr>
        <w:t>. of this code.</w:t>
      </w:r>
    </w:p>
    <w:p w14:paraId="16DF7F0B" w14:textId="3F2306D4" w:rsidR="001E70EF" w:rsidRDefault="001E70EF" w:rsidP="001E70EF">
      <w:pPr>
        <w:pStyle w:val="SectionBody"/>
        <w:rPr>
          <w:color w:val="auto"/>
          <w:u w:val="single"/>
        </w:rPr>
      </w:pPr>
      <w:r w:rsidRPr="00353CB4">
        <w:rPr>
          <w:color w:val="auto"/>
          <w:u w:val="single"/>
        </w:rPr>
        <w:t>(</w:t>
      </w:r>
      <w:r w:rsidR="00C93722">
        <w:rPr>
          <w:color w:val="auto"/>
          <w:u w:val="single"/>
        </w:rPr>
        <w:t>a</w:t>
      </w:r>
      <w:r w:rsidRPr="00353CB4">
        <w:rPr>
          <w:color w:val="auto"/>
          <w:u w:val="single"/>
        </w:rPr>
        <w:t xml:space="preserve">) </w:t>
      </w:r>
      <w:r w:rsidR="0031106F">
        <w:rPr>
          <w:color w:val="auto"/>
          <w:u w:val="single"/>
        </w:rPr>
        <w:t xml:space="preserve">If a court of this state has subject matter jurisdiction over the initial determination of child custody pursuant to §48-20-101 </w:t>
      </w:r>
      <w:r w:rsidR="0031106F">
        <w:rPr>
          <w:i/>
          <w:iCs/>
          <w:color w:val="auto"/>
          <w:u w:val="single"/>
        </w:rPr>
        <w:t>et seq.</w:t>
      </w:r>
      <w:r w:rsidR="0031106F">
        <w:rPr>
          <w:color w:val="auto"/>
          <w:u w:val="single"/>
        </w:rPr>
        <w:t xml:space="preserve"> of this code, the petitioner </w:t>
      </w:r>
      <w:r w:rsidR="00940CA7">
        <w:rPr>
          <w:color w:val="auto"/>
          <w:u w:val="single"/>
        </w:rPr>
        <w:t>may</w:t>
      </w:r>
      <w:r w:rsidR="0031106F">
        <w:rPr>
          <w:color w:val="auto"/>
          <w:u w:val="single"/>
        </w:rPr>
        <w:t xml:space="preserve"> bring an action for an initial custody determination in any of the following counties:</w:t>
      </w:r>
    </w:p>
    <w:p w14:paraId="746915B3" w14:textId="46779578" w:rsidR="0031106F" w:rsidRDefault="0031106F" w:rsidP="001E70EF">
      <w:pPr>
        <w:pStyle w:val="SectionBody"/>
        <w:rPr>
          <w:color w:val="auto"/>
          <w:u w:val="single"/>
        </w:rPr>
      </w:pPr>
      <w:r>
        <w:rPr>
          <w:color w:val="auto"/>
          <w:u w:val="single"/>
        </w:rPr>
        <w:t>(1) The county where the parties and the child last resided together;</w:t>
      </w:r>
    </w:p>
    <w:p w14:paraId="51CD45EC" w14:textId="4C7330A8" w:rsidR="0031106F" w:rsidRDefault="0031106F" w:rsidP="001E70EF">
      <w:pPr>
        <w:pStyle w:val="SectionBody"/>
        <w:rPr>
          <w:color w:val="auto"/>
          <w:u w:val="single"/>
        </w:rPr>
      </w:pPr>
      <w:r>
        <w:rPr>
          <w:color w:val="auto"/>
          <w:u w:val="single"/>
        </w:rPr>
        <w:t xml:space="preserve">(2) For a child over the age of six months, the county where the child resides and has </w:t>
      </w:r>
      <w:r>
        <w:rPr>
          <w:color w:val="auto"/>
          <w:u w:val="single"/>
        </w:rPr>
        <w:lastRenderedPageBreak/>
        <w:t>resided for at least six consecutive months prior to the filing;</w:t>
      </w:r>
    </w:p>
    <w:p w14:paraId="61FED47E" w14:textId="51B48E30" w:rsidR="0031106F" w:rsidRDefault="0031106F" w:rsidP="001E70EF">
      <w:pPr>
        <w:pStyle w:val="SectionBody"/>
        <w:rPr>
          <w:color w:val="auto"/>
          <w:u w:val="single"/>
        </w:rPr>
      </w:pPr>
      <w:r>
        <w:rPr>
          <w:color w:val="auto"/>
          <w:u w:val="single"/>
        </w:rPr>
        <w:t xml:space="preserve">(3) </w:t>
      </w:r>
      <w:r w:rsidR="00940CA7">
        <w:rPr>
          <w:color w:val="auto"/>
          <w:u w:val="single"/>
        </w:rPr>
        <w:t>T</w:t>
      </w:r>
      <w:r>
        <w:rPr>
          <w:color w:val="auto"/>
          <w:u w:val="single"/>
        </w:rPr>
        <w:t>he county where the respondent resides; or</w:t>
      </w:r>
    </w:p>
    <w:p w14:paraId="61046BA6" w14:textId="0692658E" w:rsidR="001E70EF" w:rsidRDefault="0031106F" w:rsidP="0031106F">
      <w:pPr>
        <w:pStyle w:val="SectionBody"/>
        <w:rPr>
          <w:color w:val="auto"/>
          <w:u w:val="single"/>
        </w:rPr>
      </w:pPr>
      <w:r>
        <w:rPr>
          <w:color w:val="auto"/>
          <w:u w:val="single"/>
        </w:rPr>
        <w:t>(4) If the respondent is not a resident of this state, in the county where the petitioner resides</w:t>
      </w:r>
      <w:r w:rsidR="00460F89">
        <w:rPr>
          <w:color w:val="auto"/>
          <w:u w:val="single"/>
        </w:rPr>
        <w:t>.</w:t>
      </w:r>
    </w:p>
    <w:p w14:paraId="73FB301D" w14:textId="00DBA013" w:rsidR="0031106F" w:rsidRDefault="0031106F" w:rsidP="0031106F">
      <w:pPr>
        <w:pStyle w:val="SectionBody"/>
        <w:rPr>
          <w:color w:val="auto"/>
          <w:u w:val="single"/>
        </w:rPr>
      </w:pPr>
      <w:r>
        <w:rPr>
          <w:color w:val="auto"/>
          <w:u w:val="single"/>
        </w:rPr>
        <w:t xml:space="preserve">(b) If a court of this state has subject matter jurisdiction to modify or enforce a child custody determination pursuant to §48-20-101 </w:t>
      </w:r>
      <w:r>
        <w:rPr>
          <w:i/>
          <w:iCs/>
          <w:color w:val="auto"/>
          <w:u w:val="single"/>
        </w:rPr>
        <w:t>et seq.</w:t>
      </w:r>
      <w:r>
        <w:rPr>
          <w:color w:val="auto"/>
          <w:u w:val="single"/>
        </w:rPr>
        <w:t xml:space="preserve"> of this code, venue for a modification or enforcement of custodial allocation</w:t>
      </w:r>
      <w:r w:rsidR="00183F6F">
        <w:rPr>
          <w:color w:val="auto"/>
          <w:u w:val="single"/>
        </w:rPr>
        <w:t>, including a custody modification or enforcement action arising from a finalized divorce proceeding,</w:t>
      </w:r>
      <w:r w:rsidR="00C93722">
        <w:rPr>
          <w:color w:val="auto"/>
          <w:u w:val="single"/>
        </w:rPr>
        <w:t xml:space="preserve"> </w:t>
      </w:r>
      <w:r>
        <w:rPr>
          <w:color w:val="auto"/>
          <w:u w:val="single"/>
        </w:rPr>
        <w:t>remains in the county in which the initial custodial allocation was determined until such time as all of the following conditions are satisfied:</w:t>
      </w:r>
    </w:p>
    <w:p w14:paraId="5E5CF931" w14:textId="77777777" w:rsidR="0031106F" w:rsidRDefault="0031106F" w:rsidP="0031106F">
      <w:pPr>
        <w:pStyle w:val="SectionBody"/>
        <w:rPr>
          <w:color w:val="auto"/>
          <w:u w:val="single"/>
        </w:rPr>
      </w:pPr>
      <w:r>
        <w:rPr>
          <w:color w:val="auto"/>
          <w:u w:val="single"/>
        </w:rPr>
        <w:t>(1) Neither the child nor any person with custodial responsibility has resided in the county where the initial custodial allocation was determined for a period of not less than six months preceding the filing of the modification action;</w:t>
      </w:r>
    </w:p>
    <w:p w14:paraId="6BAB9E18" w14:textId="77777777" w:rsidR="0031106F" w:rsidRDefault="0031106F" w:rsidP="0031106F">
      <w:pPr>
        <w:pStyle w:val="SectionBody"/>
        <w:rPr>
          <w:color w:val="auto"/>
          <w:u w:val="single"/>
        </w:rPr>
      </w:pPr>
      <w:r>
        <w:rPr>
          <w:color w:val="auto"/>
          <w:u w:val="single"/>
        </w:rPr>
        <w:t>(2) Neither the child nor any person with custodial responsibility resides within 60 miles of the courthouse in the county where the initial custodial allocation was determined;</w:t>
      </w:r>
    </w:p>
    <w:p w14:paraId="68A73267" w14:textId="30A9A606" w:rsidR="0031106F" w:rsidRDefault="0031106F" w:rsidP="0031106F">
      <w:pPr>
        <w:pStyle w:val="SectionBody"/>
        <w:rPr>
          <w:color w:val="auto"/>
          <w:u w:val="single"/>
        </w:rPr>
      </w:pPr>
      <w:r>
        <w:rPr>
          <w:color w:val="auto"/>
          <w:u w:val="single"/>
        </w:rPr>
        <w:t xml:space="preserve">(3) A modification </w:t>
      </w:r>
      <w:r w:rsidR="00E82D9B">
        <w:rPr>
          <w:color w:val="auto"/>
          <w:u w:val="single"/>
        </w:rPr>
        <w:t xml:space="preserve">or enforcement </w:t>
      </w:r>
      <w:r>
        <w:rPr>
          <w:color w:val="auto"/>
          <w:u w:val="single"/>
        </w:rPr>
        <w:t>action has been filed in the county where the initial custodial allocation was determined; and</w:t>
      </w:r>
    </w:p>
    <w:p w14:paraId="3499ED5C" w14:textId="77777777" w:rsidR="0031106F" w:rsidRDefault="0031106F" w:rsidP="0031106F">
      <w:pPr>
        <w:pStyle w:val="SectionBody"/>
        <w:rPr>
          <w:color w:val="auto"/>
          <w:u w:val="single"/>
        </w:rPr>
      </w:pPr>
      <w:r>
        <w:rPr>
          <w:color w:val="auto"/>
          <w:u w:val="single"/>
        </w:rPr>
        <w:t>(4) A motion to change venue has been filed and served upon all parties pursuant to Rule 5 of the Rules of Civil Procedure.</w:t>
      </w:r>
    </w:p>
    <w:p w14:paraId="1EC50868" w14:textId="25A219AD" w:rsidR="0031106F" w:rsidRDefault="0031106F" w:rsidP="0031106F">
      <w:pPr>
        <w:pStyle w:val="SectionBody"/>
        <w:rPr>
          <w:color w:val="auto"/>
          <w:u w:val="single"/>
        </w:rPr>
      </w:pPr>
      <w:r>
        <w:rPr>
          <w:color w:val="auto"/>
          <w:u w:val="single"/>
        </w:rPr>
        <w:t>(c) If the conditions of subsection (</w:t>
      </w:r>
      <w:r w:rsidR="00C93722">
        <w:rPr>
          <w:color w:val="auto"/>
          <w:u w:val="single"/>
        </w:rPr>
        <w:t>b</w:t>
      </w:r>
      <w:r>
        <w:rPr>
          <w:color w:val="auto"/>
          <w:u w:val="single"/>
        </w:rPr>
        <w:t xml:space="preserve">) of this section have been satisfied, the family court may transfer the action to a county where </w:t>
      </w:r>
      <w:r w:rsidR="00927E48">
        <w:rPr>
          <w:color w:val="auto"/>
          <w:u w:val="single"/>
        </w:rPr>
        <w:t>any</w:t>
      </w:r>
      <w:r>
        <w:rPr>
          <w:color w:val="auto"/>
          <w:u w:val="single"/>
        </w:rPr>
        <w:t xml:space="preserve"> person with custodial responsibility resides or the county where the child resides after considering which county has the most available evidence concerning the child’s care, protection, training, and personal relationships: </w:t>
      </w:r>
      <w:r>
        <w:rPr>
          <w:i/>
          <w:iCs/>
          <w:color w:val="auto"/>
          <w:u w:val="single"/>
        </w:rPr>
        <w:t>Provided</w:t>
      </w:r>
      <w:r>
        <w:rPr>
          <w:color w:val="auto"/>
          <w:u w:val="single"/>
        </w:rPr>
        <w:t>, That the family court may decline to transfer the action if there has been significant history before the family court, and the family court determines that it is not an inconvenient forum for any party with custodial responsibility.</w:t>
      </w:r>
    </w:p>
    <w:p w14:paraId="0F8F4099" w14:textId="48BCF616" w:rsidR="00E831B3" w:rsidRDefault="0031106F" w:rsidP="00183F6F">
      <w:pPr>
        <w:pStyle w:val="SectionBody"/>
      </w:pPr>
      <w:r>
        <w:rPr>
          <w:color w:val="auto"/>
          <w:u w:val="single"/>
        </w:rPr>
        <w:t>(d) If venue for the modification or enforcement of a custody determination is transferred</w:t>
      </w:r>
      <w:r w:rsidR="00183F6F">
        <w:rPr>
          <w:color w:val="auto"/>
          <w:u w:val="single"/>
        </w:rPr>
        <w:t xml:space="preserve">, </w:t>
      </w:r>
      <w:r>
        <w:rPr>
          <w:color w:val="auto"/>
          <w:u w:val="single"/>
        </w:rPr>
        <w:lastRenderedPageBreak/>
        <w:t xml:space="preserve">any portions of the action pertaining to child support or paternity shall be transferred as well. </w:t>
      </w:r>
    </w:p>
    <w:sectPr w:rsidR="00E831B3" w:rsidSect="001E70E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6C33" w14:textId="77777777" w:rsidR="00562066" w:rsidRPr="00B844FE" w:rsidRDefault="00562066" w:rsidP="00B844FE">
      <w:r>
        <w:separator/>
      </w:r>
    </w:p>
  </w:endnote>
  <w:endnote w:type="continuationSeparator" w:id="0">
    <w:p w14:paraId="4D33803C" w14:textId="77777777" w:rsidR="00562066" w:rsidRPr="00B844FE" w:rsidRDefault="00562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8B4C" w14:textId="77777777" w:rsidR="001E70EF" w:rsidRDefault="001E70EF" w:rsidP="00934D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50386D" w14:textId="77777777" w:rsidR="001E70EF" w:rsidRPr="001E70EF" w:rsidRDefault="001E70EF" w:rsidP="001E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A4B2" w14:textId="1D274AD4" w:rsidR="001E70EF" w:rsidRDefault="001E70EF" w:rsidP="00934D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769F24" w14:textId="77777777" w:rsidR="001E70EF" w:rsidRPr="001E70EF" w:rsidRDefault="001E70EF" w:rsidP="001E7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6E47" w14:textId="77777777" w:rsidR="001E70EF" w:rsidRDefault="001E70EF" w:rsidP="00934D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449BFE" w14:textId="77777777" w:rsidR="001E70EF" w:rsidRPr="001E70EF" w:rsidRDefault="001E70EF" w:rsidP="001E70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47CD" w14:textId="4FAFF708" w:rsidR="001E70EF" w:rsidRDefault="001E70EF" w:rsidP="00934D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E9789D" w14:textId="77777777" w:rsidR="001E70EF" w:rsidRPr="001E70EF" w:rsidRDefault="001E70EF" w:rsidP="001E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60A0" w14:textId="77777777" w:rsidR="00562066" w:rsidRPr="00B844FE" w:rsidRDefault="00562066" w:rsidP="00B844FE">
      <w:r>
        <w:separator/>
      </w:r>
    </w:p>
  </w:footnote>
  <w:footnote w:type="continuationSeparator" w:id="0">
    <w:p w14:paraId="7726CDDC" w14:textId="77777777" w:rsidR="00562066" w:rsidRPr="00B844FE" w:rsidRDefault="00562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7A17" w14:textId="422CDBDD" w:rsidR="001E70EF" w:rsidRPr="001E70EF" w:rsidRDefault="001E70EF" w:rsidP="001E70EF">
    <w:pPr>
      <w:pStyle w:val="Header"/>
    </w:pPr>
    <w:r>
      <w:t>CS for SB 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D2E5" w14:textId="3E954BCD" w:rsidR="001E70EF" w:rsidRPr="001E70EF" w:rsidRDefault="001E70EF" w:rsidP="001E70EF">
    <w:pPr>
      <w:pStyle w:val="Header"/>
    </w:pPr>
    <w:r>
      <w:t>CS for SB 516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2AC2" w14:textId="138414E1" w:rsidR="001E70EF" w:rsidRPr="001E70EF" w:rsidRDefault="001E70EF" w:rsidP="001E70EF">
    <w:pPr>
      <w:pStyle w:val="Header"/>
    </w:pPr>
    <w:r>
      <w:t>CS for SB 516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210" w14:textId="2F70A7EE" w:rsidR="001E70EF" w:rsidRPr="001E70EF" w:rsidRDefault="001E70EF" w:rsidP="001E70EF">
    <w:pPr>
      <w:pStyle w:val="Header"/>
    </w:pPr>
    <w:r>
      <w:t>CS for SB 516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F11B" w14:textId="2EE3FEA0" w:rsidR="001E70EF" w:rsidRPr="001E70EF" w:rsidRDefault="001E70EF" w:rsidP="001E70EF">
    <w:pPr>
      <w:pStyle w:val="Header"/>
    </w:pPr>
    <w:r>
      <w:t>CS for SB 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BA3"/>
    <w:multiLevelType w:val="hybridMultilevel"/>
    <w:tmpl w:val="88A6AFD0"/>
    <w:lvl w:ilvl="0" w:tplc="C922A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0142761">
    <w:abstractNumId w:val="1"/>
  </w:num>
  <w:num w:numId="2" w16cid:durableId="1889754527">
    <w:abstractNumId w:val="1"/>
  </w:num>
  <w:num w:numId="3" w16cid:durableId="45321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66"/>
    <w:rsid w:val="00002112"/>
    <w:rsid w:val="0000526A"/>
    <w:rsid w:val="00085D22"/>
    <w:rsid w:val="000C5C77"/>
    <w:rsid w:val="0010070F"/>
    <w:rsid w:val="0012246A"/>
    <w:rsid w:val="0015112E"/>
    <w:rsid w:val="001552E7"/>
    <w:rsid w:val="001566B4"/>
    <w:rsid w:val="00175B38"/>
    <w:rsid w:val="00183F6F"/>
    <w:rsid w:val="001C279E"/>
    <w:rsid w:val="001D459E"/>
    <w:rsid w:val="001E70EF"/>
    <w:rsid w:val="00230763"/>
    <w:rsid w:val="00251E66"/>
    <w:rsid w:val="0027011C"/>
    <w:rsid w:val="00274200"/>
    <w:rsid w:val="00275740"/>
    <w:rsid w:val="002A0269"/>
    <w:rsid w:val="002C5128"/>
    <w:rsid w:val="00301F44"/>
    <w:rsid w:val="00303684"/>
    <w:rsid w:val="0031106F"/>
    <w:rsid w:val="003143F5"/>
    <w:rsid w:val="00314854"/>
    <w:rsid w:val="00365920"/>
    <w:rsid w:val="003C51CD"/>
    <w:rsid w:val="00410475"/>
    <w:rsid w:val="004247A2"/>
    <w:rsid w:val="00460F89"/>
    <w:rsid w:val="004B2795"/>
    <w:rsid w:val="004C13DD"/>
    <w:rsid w:val="004E3441"/>
    <w:rsid w:val="00562066"/>
    <w:rsid w:val="00571DC3"/>
    <w:rsid w:val="005A5366"/>
    <w:rsid w:val="00617671"/>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27E48"/>
    <w:rsid w:val="00940CA7"/>
    <w:rsid w:val="00952402"/>
    <w:rsid w:val="00980327"/>
    <w:rsid w:val="009F1067"/>
    <w:rsid w:val="00A16BB3"/>
    <w:rsid w:val="00A31E01"/>
    <w:rsid w:val="00A35B03"/>
    <w:rsid w:val="00A527AD"/>
    <w:rsid w:val="00A718CF"/>
    <w:rsid w:val="00A72E7C"/>
    <w:rsid w:val="00AC3B58"/>
    <w:rsid w:val="00AE48A0"/>
    <w:rsid w:val="00AE61BE"/>
    <w:rsid w:val="00AF09E0"/>
    <w:rsid w:val="00B16F25"/>
    <w:rsid w:val="00B24422"/>
    <w:rsid w:val="00B710C8"/>
    <w:rsid w:val="00B80C20"/>
    <w:rsid w:val="00B844FE"/>
    <w:rsid w:val="00BC562B"/>
    <w:rsid w:val="00C33014"/>
    <w:rsid w:val="00C33434"/>
    <w:rsid w:val="00C34869"/>
    <w:rsid w:val="00C42EB6"/>
    <w:rsid w:val="00C85096"/>
    <w:rsid w:val="00C93722"/>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2D9B"/>
    <w:rsid w:val="00E831B3"/>
    <w:rsid w:val="00EB203E"/>
    <w:rsid w:val="00EE70CB"/>
    <w:rsid w:val="00EF6030"/>
    <w:rsid w:val="00F23775"/>
    <w:rsid w:val="00F41CA2"/>
    <w:rsid w:val="00F443C0"/>
    <w:rsid w:val="00F50749"/>
    <w:rsid w:val="00F62EFB"/>
    <w:rsid w:val="00F7056B"/>
    <w:rsid w:val="00F939A4"/>
    <w:rsid w:val="00FA7B09"/>
    <w:rsid w:val="00FE067E"/>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3C09B"/>
  <w15:chartTrackingRefBased/>
  <w15:docId w15:val="{8BA3A91F-B8D2-4643-97E2-71EE47A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E70EF"/>
    <w:rPr>
      <w:rFonts w:eastAsia="Calibri"/>
      <w:b/>
      <w:caps/>
      <w:color w:val="000000"/>
      <w:sz w:val="24"/>
    </w:rPr>
  </w:style>
  <w:style w:type="character" w:styleId="PageNumber">
    <w:name w:val="page number"/>
    <w:basedOn w:val="DefaultParagraphFont"/>
    <w:uiPriority w:val="99"/>
    <w:semiHidden/>
    <w:locked/>
    <w:rsid w:val="001E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381E4B5424E2B84AC0CF5A4C80EB7"/>
        <w:category>
          <w:name w:val="General"/>
          <w:gallery w:val="placeholder"/>
        </w:category>
        <w:types>
          <w:type w:val="bbPlcHdr"/>
        </w:types>
        <w:behaviors>
          <w:behavior w:val="content"/>
        </w:behaviors>
        <w:guid w:val="{5BFFC95F-65C3-4D55-A049-F80A20C3BC86}"/>
      </w:docPartPr>
      <w:docPartBody>
        <w:p w:rsidR="001B5E12" w:rsidRDefault="001B5E12">
          <w:pPr>
            <w:pStyle w:val="464381E4B5424E2B84AC0CF5A4C80EB7"/>
          </w:pPr>
          <w:r w:rsidRPr="00B844FE">
            <w:t>Prefix Text</w:t>
          </w:r>
        </w:p>
      </w:docPartBody>
    </w:docPart>
    <w:docPart>
      <w:docPartPr>
        <w:name w:val="59BBB36888214974A906C956DC83699E"/>
        <w:category>
          <w:name w:val="General"/>
          <w:gallery w:val="placeholder"/>
        </w:category>
        <w:types>
          <w:type w:val="bbPlcHdr"/>
        </w:types>
        <w:behaviors>
          <w:behavior w:val="content"/>
        </w:behaviors>
        <w:guid w:val="{6BDCAAED-FDC6-46B1-ACF3-26B0D3BCA38C}"/>
      </w:docPartPr>
      <w:docPartBody>
        <w:p w:rsidR="001B5E12" w:rsidRDefault="001B5E12">
          <w:pPr>
            <w:pStyle w:val="59BBB36888214974A906C956DC83699E"/>
          </w:pPr>
          <w:r w:rsidRPr="00B844FE">
            <w:t>[Type here]</w:t>
          </w:r>
        </w:p>
      </w:docPartBody>
    </w:docPart>
    <w:docPart>
      <w:docPartPr>
        <w:name w:val="3C529FBAEDCC4E118AE814FC07778F4C"/>
        <w:category>
          <w:name w:val="General"/>
          <w:gallery w:val="placeholder"/>
        </w:category>
        <w:types>
          <w:type w:val="bbPlcHdr"/>
        </w:types>
        <w:behaviors>
          <w:behavior w:val="content"/>
        </w:behaviors>
        <w:guid w:val="{EB2C6450-9A74-4BCC-BD12-83E0A6537205}"/>
      </w:docPartPr>
      <w:docPartBody>
        <w:p w:rsidR="001B5E12" w:rsidRDefault="001B5E12">
          <w:pPr>
            <w:pStyle w:val="3C529FBAEDCC4E118AE814FC07778F4C"/>
          </w:pPr>
          <w:r w:rsidRPr="00B844FE">
            <w:t>Number</w:t>
          </w:r>
        </w:p>
      </w:docPartBody>
    </w:docPart>
    <w:docPart>
      <w:docPartPr>
        <w:name w:val="8D08B9A1DA0345668C4EB71F891780B3"/>
        <w:category>
          <w:name w:val="General"/>
          <w:gallery w:val="placeholder"/>
        </w:category>
        <w:types>
          <w:type w:val="bbPlcHdr"/>
        </w:types>
        <w:behaviors>
          <w:behavior w:val="content"/>
        </w:behaviors>
        <w:guid w:val="{D45A00DA-5968-41C6-BA98-D22158276FAE}"/>
      </w:docPartPr>
      <w:docPartBody>
        <w:p w:rsidR="001B5E12" w:rsidRDefault="001B5E12">
          <w:pPr>
            <w:pStyle w:val="8D08B9A1DA0345668C4EB71F891780B3"/>
          </w:pPr>
          <w:r>
            <w:rPr>
              <w:rStyle w:val="PlaceholderText"/>
            </w:rPr>
            <w:t>Enter Committee</w:t>
          </w:r>
        </w:p>
      </w:docPartBody>
    </w:docPart>
    <w:docPart>
      <w:docPartPr>
        <w:name w:val="ACB60E1C06FF48298A40F5EE3D3D62C7"/>
        <w:category>
          <w:name w:val="General"/>
          <w:gallery w:val="placeholder"/>
        </w:category>
        <w:types>
          <w:type w:val="bbPlcHdr"/>
        </w:types>
        <w:behaviors>
          <w:behavior w:val="content"/>
        </w:behaviors>
        <w:guid w:val="{A37FCA6C-1081-4317-BDB1-E1575CD60BA2}"/>
      </w:docPartPr>
      <w:docPartBody>
        <w:p w:rsidR="001B5E12" w:rsidRDefault="001B5E12">
          <w:pPr>
            <w:pStyle w:val="ACB60E1C06FF48298A40F5EE3D3D62C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12"/>
    <w:rsid w:val="001B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4381E4B5424E2B84AC0CF5A4C80EB7">
    <w:name w:val="464381E4B5424E2B84AC0CF5A4C80EB7"/>
  </w:style>
  <w:style w:type="paragraph" w:customStyle="1" w:styleId="59BBB36888214974A906C956DC83699E">
    <w:name w:val="59BBB36888214974A906C956DC83699E"/>
  </w:style>
  <w:style w:type="paragraph" w:customStyle="1" w:styleId="3C529FBAEDCC4E118AE814FC07778F4C">
    <w:name w:val="3C529FBAEDCC4E118AE814FC07778F4C"/>
  </w:style>
  <w:style w:type="character" w:styleId="PlaceholderText">
    <w:name w:val="Placeholder Text"/>
    <w:basedOn w:val="DefaultParagraphFont"/>
    <w:uiPriority w:val="99"/>
    <w:semiHidden/>
    <w:rsid w:val="001B5E12"/>
    <w:rPr>
      <w:color w:val="808080"/>
    </w:rPr>
  </w:style>
  <w:style w:type="paragraph" w:customStyle="1" w:styleId="8D08B9A1DA0345668C4EB71F891780B3">
    <w:name w:val="8D08B9A1DA0345668C4EB71F891780B3"/>
  </w:style>
  <w:style w:type="paragraph" w:customStyle="1" w:styleId="ACB60E1C06FF48298A40F5EE3D3D62C7">
    <w:name w:val="ACB60E1C06FF48298A40F5EE3D3D6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672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3</cp:revision>
  <cp:lastPrinted>2024-01-31T21:50:00Z</cp:lastPrinted>
  <dcterms:created xsi:type="dcterms:W3CDTF">2024-01-31T21:54:00Z</dcterms:created>
  <dcterms:modified xsi:type="dcterms:W3CDTF">2024-02-01T18:49:00Z</dcterms:modified>
</cp:coreProperties>
</file>